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4D6"/>
          </w:tcPr>
          <w:p>
            <w:r>
              <w:rPr>
                <w:b/>
                <w:sz w:val="20"/>
              </w:rPr>
              <w:t>Minta — nem jogi tanács; egyedi esetben fordulj ügyvédhez.</w:t>
            </w:r>
          </w:p>
          <w:p>
            <w:pPr>
              <w:spacing w:after="0" w:before="0"/>
            </w:pPr>
            <w:r>
              <w:rPr>
                <w:b w:val="0"/>
                <w:i w:val="0"/>
                <w:sz w:val="17"/>
              </w:rPr>
              <w:t>A jogszabályi hivatkozásokat 2026. október 21-én ellenőriztük a Nemzeti Jogszabálytárban, illetve a Jogtárban. Kitöltés előtt nézd meg, nem változtak-e.</w:t>
            </w:r>
          </w:p>
        </w:tc>
      </w:tr>
    </w:tbl>
    <w:p>
      <w:pPr>
        <w:spacing w:after="40" w:before="0"/>
      </w:pPr>
      <w:r>
        <w:rPr>
          <w:b w:val="0"/>
          <w:i w:val="0"/>
          <w:sz w:val="20"/>
        </w:rPr>
      </w:r>
    </w:p>
    <w:p>
      <w:pPr>
        <w:spacing w:after="0" w:before="0"/>
        <w:jc w:val="center"/>
      </w:pPr>
      <w:r>
        <w:rPr>
          <w:b/>
          <w:i w:val="0"/>
          <w:color w:val="1F4E5F"/>
          <w:sz w:val="32"/>
        </w:rPr>
        <w:t>EV-MELLÉKLET</w:t>
      </w:r>
    </w:p>
    <w:p>
      <w:pPr>
        <w:spacing w:after="200" w:before="0"/>
        <w:jc w:val="center"/>
      </w:pPr>
      <w:r>
        <w:rPr>
          <w:b w:val="0"/>
          <w:i/>
          <w:sz w:val="20"/>
        </w:rPr>
        <w:t>az elektromos autó adásvételi szerződésének 1. számú melléklete</w:t>
      </w:r>
    </w:p>
    <w:p>
      <w:pPr>
        <w:spacing w:after="80" w:before="0"/>
      </w:pPr>
      <w:r>
        <w:rPr>
          <w:b w:val="0"/>
          <w:i w:val="0"/>
          <w:sz w:val="20"/>
        </w:rPr>
        <w:t>Ez a melléklet a felek között ……………… napján kötött adásvételi szerződés elválaszthatatlan része, és az elektromos autóra jellemző adatokat, tartozékokat és teendőket rögzíti.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Eladó neve: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Vevő neve: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Rendszám: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Alvázszám (VIN):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1. Az akkumulátor állapota (SoH)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SoH (az akkumulátor egészségi állapota) %: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Gyári nettó kapacitás (kWh, ha ismert):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 mérés dátuma: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Kilométeróra-állás a méréskor (km):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Ki mérte (szerviz neve / személy):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Az eszköz vagy alkalmazás neve: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 w:val="0"/>
          <w:i w:val="0"/>
          <w:sz w:val="20"/>
        </w:rPr>
        <w:t>A mérés módja: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márkaszervizes kiolvasás / diagnosztika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gyártói akkumulátor-tanúsítvány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OBD-adapter és alkalmazás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jármű fedélzeti kijelzése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egyéb: ……………………………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mérési jegyzőkönyv / képernyőkép a melléklethez csatolva.</w:t>
      </w:r>
    </w:p>
    <w:p>
      <w:pPr>
        <w:spacing w:after="80" w:before="0"/>
      </w:pPr>
      <w:r>
        <w:rPr>
          <w:b w:val="0"/>
          <w:i/>
          <w:color w:val="555555"/>
          <w:sz w:val="16"/>
        </w:rPr>
        <w:t>A különböző mérési módok eltérő értéket adhatnak, ezért a módot és a dátumot is rögzítsétek.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2. Töltőkábelek és tartozékok</w:t>
      </w:r>
    </w:p>
    <w:tbl>
      <w:tblPr>
        <w:tblStyle w:val="TableGrid"/>
        <w:tblW w:type="dxa" w:w="9639"/>
        <w:tblLayout w:type="fixed"/>
        <w:tblLook w:firstColumn="1" w:firstRow="1" w:lastColumn="0" w:lastRow="0" w:noHBand="0" w:noVBand="1" w:val="04A0"/>
      </w:tblPr>
      <w:tblGrid>
        <w:gridCol w:w="4180"/>
        <w:gridCol w:w="1045"/>
        <w:gridCol w:w="697"/>
        <w:gridCol w:w="3716"/>
      </w:tblGrid>
      <w:tr>
        <w:tc>
          <w:tcPr>
            <w:tcW w:type="dxa" w:w="4180"/>
            <w:shd w:val="clear" w:color="auto" w:fill="E3ECEF"/>
          </w:tcPr>
          <w:p>
            <w:r>
              <w:rPr>
                <w:b/>
                <w:sz w:val="17"/>
              </w:rPr>
              <w:t>Tétel</w:t>
            </w:r>
          </w:p>
        </w:tc>
        <w:tc>
          <w:tcPr>
            <w:tcW w:type="dxa" w:w="1045"/>
            <w:shd w:val="clear" w:color="auto" w:fill="E3ECEF"/>
          </w:tcPr>
          <w:p>
            <w:r>
              <w:rPr>
                <w:b/>
                <w:sz w:val="17"/>
              </w:rPr>
              <w:t>Átadva</w:t>
            </w:r>
          </w:p>
        </w:tc>
        <w:tc>
          <w:tcPr>
            <w:tcW w:type="dxa" w:w="697"/>
            <w:shd w:val="clear" w:color="auto" w:fill="E3ECEF"/>
          </w:tcPr>
          <w:p>
            <w:r>
              <w:rPr>
                <w:b/>
                <w:sz w:val="17"/>
              </w:rPr>
              <w:t>Db</w:t>
            </w:r>
          </w:p>
        </w:tc>
        <w:tc>
          <w:tcPr>
            <w:tcW w:type="dxa" w:w="3716"/>
            <w:shd w:val="clear" w:color="auto" w:fill="E3ECEF"/>
          </w:tcPr>
          <w:p>
            <w:r>
              <w:rPr>
                <w:b/>
                <w:sz w:val="17"/>
              </w:rPr>
              <w:t>Típus / megjegyzés</w:t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  <w:t>Mode 3 töltőkábel (Type 2, nyilvános AC töltőhöz)</w:t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  <w:t>Hordozható töltő (Mode 2, háztartási / ipari aljzathoz)</w:t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  <w:t>Adapterek (pl. ipari aljzathoz)</w:t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  <w:t>V2L-adapter (ha van)</w:t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  <w:t>Fali töltő (ha a vételár része)</w:t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  <w:t>Kábeltároló táska</w:t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4180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04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69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371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3. Gyártói garancia és akkumulátor-garancia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Általános gyári garancia lejárata (dátum / km):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Akkumulátor-garancia lejárata (dátum / km):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Garantált minimális kapacitás (%):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A garancia kezdő dátuma (első forgalomba helyezés / átadás):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szervizkönyv / digitális szervizelőzmény hiánytalan, az előírt szervizek megtörténtek.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jótállási jegy / garanciafüzet átadva.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felek a gyártói garanciafeltételekből ellenőrizték, hogy a garancia átszáll-e az új tulajdonosra, és milyen feltétellel.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Az Eladó szükség esetén közreműködik a tulajdonosváltás jelzésében a márkaszervizben.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4. Digitális kulcs és gyártói alkalmazásfiók</w:t>
      </w:r>
    </w:p>
    <w:p>
      <w:pPr>
        <w:spacing w:after="80" w:before="0"/>
      </w:pPr>
      <w:r>
        <w:rPr>
          <w:b w:val="0"/>
          <w:i w:val="0"/>
          <w:sz w:val="20"/>
        </w:rPr>
        <w:t>Gyártói alkalmazás:</w:t>
      </w:r>
    </w:p>
    <w:p>
      <w:pPr>
        <w:spacing w:after="80" w:before="0"/>
      </w:pPr>
      <w:r>
        <w:rPr>
          <w:b w:val="0"/>
          <w:i w:val="0"/>
          <w:sz w:val="20"/>
        </w:rPr>
        <w:t>□ Kia Connect     □ Bluelink (Hyundai)     □ MyŠkoda     □ My BMW     □ Volkswagen app     □ BYD app     □ egyéb: ……………………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Az Eladó a járművet a saját alkalmazásfiókjából eltávolította (dátum: ……………).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telefonos / digitális kulcsokat és a megosztott kulcsokat az Eladó törölte.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fedélzeti rendszerből a személyes profilok, párosított telefonok és mentett címek törölve (szükség esetén gyári visszaállítással).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Vevő a járművet az átadás után a saját fiókjához rendeli.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Online (connected) szolgáltatások állapota, előfizetés lejárata: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5. Töltőkártyák, előfizetések</w:t>
      </w:r>
    </w:p>
    <w:tbl>
      <w:tblPr>
        <w:tblStyle w:val="TableGrid"/>
        <w:tblW w:type="dxa" w:w="9639"/>
        <w:tblLayout w:type="fixed"/>
        <w:tblLook w:firstColumn="1" w:firstRow="1" w:lastColumn="0" w:lastRow="0" w:noHBand="0" w:noVBand="1" w:val="04A0"/>
      </w:tblPr>
      <w:tblGrid>
        <w:gridCol w:w="2671"/>
        <w:gridCol w:w="2555"/>
        <w:gridCol w:w="1393"/>
        <w:gridCol w:w="1277"/>
        <w:gridCol w:w="1742"/>
      </w:tblGrid>
      <w:tr>
        <w:tc>
          <w:tcPr>
            <w:tcW w:type="dxa" w:w="2671"/>
            <w:shd w:val="clear" w:color="auto" w:fill="E3ECEF"/>
          </w:tcPr>
          <w:p>
            <w:r>
              <w:rPr>
                <w:b/>
                <w:sz w:val="17"/>
              </w:rPr>
              <w:t>Szolgáltató</w:t>
            </w:r>
          </w:p>
        </w:tc>
        <w:tc>
          <w:tcPr>
            <w:tcW w:type="dxa" w:w="2555"/>
            <w:shd w:val="clear" w:color="auto" w:fill="E3ECEF"/>
          </w:tcPr>
          <w:p>
            <w:r>
              <w:rPr>
                <w:b/>
                <w:sz w:val="17"/>
              </w:rPr>
              <w:t>Kártya / azonosító</w:t>
            </w:r>
          </w:p>
        </w:tc>
        <w:tc>
          <w:tcPr>
            <w:tcW w:type="dxa" w:w="1393"/>
            <w:shd w:val="clear" w:color="auto" w:fill="E3ECEF"/>
          </w:tcPr>
          <w:p>
            <w:r>
              <w:rPr>
                <w:b/>
                <w:sz w:val="17"/>
              </w:rPr>
              <w:t>Lemondva</w:t>
            </w:r>
          </w:p>
        </w:tc>
        <w:tc>
          <w:tcPr>
            <w:tcW w:type="dxa" w:w="1277"/>
            <w:shd w:val="clear" w:color="auto" w:fill="E3ECEF"/>
          </w:tcPr>
          <w:p>
            <w:r>
              <w:rPr>
                <w:b/>
                <w:sz w:val="17"/>
              </w:rPr>
              <w:t>Átadva</w:t>
            </w:r>
          </w:p>
        </w:tc>
        <w:tc>
          <w:tcPr>
            <w:tcW w:type="dxa" w:w="1742"/>
            <w:shd w:val="clear" w:color="auto" w:fill="E3ECEF"/>
          </w:tcPr>
          <w:p>
            <w:r>
              <w:rPr>
                <w:b/>
                <w:sz w:val="17"/>
              </w:rPr>
              <w:t>Az Eladónál marad</w:t>
            </w:r>
          </w:p>
        </w:tc>
      </w:tr>
      <w:tr>
        <w:tc>
          <w:tcPr>
            <w:tcW w:type="dxa" w:w="2671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255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393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27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2671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255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393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27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2671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255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393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27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2671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2555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393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277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80" w:before="0"/>
      </w:pPr>
      <w:r>
        <w:rPr>
          <w:b w:val="0"/>
          <w:i/>
          <w:color w:val="555555"/>
          <w:sz w:val="16"/>
        </w:rPr>
        <w:t>Ha az Eladó fiókjához kötött töltőkártya a járműben marad, a töltések az Eladó számláját terhelhetik — ezért a kártyát az Eladó vagy mondja le, vagy kifejezett megállapodással adja át.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6. Szoftver és visszahívások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Szoftververzió (a fedélzeti kijelző szerint):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Utolsó frissítés dátuma: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Nyitott visszahívás / szervizakció ellenőrzése alvázszámmal: hol, mikor: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Nincs nyitott visszahívás vagy szervizakció.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Van nyitott visszahívás / szervizakció: ……………………………</w:t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7. Kerékszettek</w:t>
      </w:r>
    </w:p>
    <w:tbl>
      <w:tblPr>
        <w:tblStyle w:val="TableGrid"/>
        <w:tblW w:type="dxa" w:w="9638"/>
        <w:tblLayout w:type="fixed"/>
        <w:tblLook w:firstColumn="1" w:firstRow="1" w:lastColumn="0" w:lastRow="0" w:noHBand="0" w:noVBand="1" w:val="04A0"/>
      </w:tblPr>
      <w:tblGrid>
        <w:gridCol w:w="1510"/>
        <w:gridCol w:w="1510"/>
        <w:gridCol w:w="1742"/>
        <w:gridCol w:w="1626"/>
        <w:gridCol w:w="1626"/>
        <w:gridCol w:w="1626"/>
      </w:tblGrid>
      <w:tr>
        <w:tc>
          <w:tcPr>
            <w:tcW w:type="dxa" w:w="1510"/>
            <w:shd w:val="clear" w:color="auto" w:fill="E3ECEF"/>
          </w:tcPr>
          <w:p>
            <w:r>
              <w:rPr>
                <w:b/>
                <w:sz w:val="17"/>
              </w:rPr>
              <w:t>Szett</w:t>
            </w:r>
          </w:p>
        </w:tc>
        <w:tc>
          <w:tcPr>
            <w:tcW w:type="dxa" w:w="1510"/>
            <w:shd w:val="clear" w:color="auto" w:fill="E3ECEF"/>
          </w:tcPr>
          <w:p>
            <w:r>
              <w:rPr>
                <w:b/>
                <w:sz w:val="17"/>
              </w:rPr>
              <w:t>Méret</w:t>
            </w:r>
          </w:p>
        </w:tc>
        <w:tc>
          <w:tcPr>
            <w:tcW w:type="dxa" w:w="1742"/>
            <w:shd w:val="clear" w:color="auto" w:fill="E3ECEF"/>
          </w:tcPr>
          <w:p>
            <w:r>
              <w:rPr>
                <w:b/>
                <w:sz w:val="17"/>
              </w:rPr>
              <w:t>Gyártmány</w:t>
            </w:r>
          </w:p>
        </w:tc>
        <w:tc>
          <w:tcPr>
            <w:tcW w:type="dxa" w:w="1626"/>
            <w:shd w:val="clear" w:color="auto" w:fill="E3ECEF"/>
          </w:tcPr>
          <w:p>
            <w:r>
              <w:rPr>
                <w:b/>
                <w:sz w:val="17"/>
              </w:rPr>
              <w:t>Gyártási év (DOT)</w:t>
            </w:r>
          </w:p>
        </w:tc>
        <w:tc>
          <w:tcPr>
            <w:tcW w:type="dxa" w:w="1626"/>
            <w:shd w:val="clear" w:color="auto" w:fill="E3ECEF"/>
          </w:tcPr>
          <w:p>
            <w:r>
              <w:rPr>
                <w:b/>
                <w:sz w:val="17"/>
              </w:rPr>
              <w:t>Profilmélység (mm)</w:t>
            </w:r>
          </w:p>
        </w:tc>
        <w:tc>
          <w:tcPr>
            <w:tcW w:type="dxa" w:w="1626"/>
            <w:shd w:val="clear" w:color="auto" w:fill="E3ECEF"/>
          </w:tcPr>
          <w:p>
            <w:r>
              <w:rPr>
                <w:b/>
                <w:sz w:val="17"/>
              </w:rPr>
              <w:t>Felni</w:t>
            </w:r>
          </w:p>
        </w:tc>
      </w:tr>
      <w:tr>
        <w:tc>
          <w:tcPr>
            <w:tcW w:type="dxa" w:w="1510"/>
          </w:tcPr>
          <w:p>
            <w:pPr>
              <w:spacing w:before="60" w:after="60"/>
            </w:pPr>
            <w:r>
              <w:rPr>
                <w:sz w:val="17"/>
              </w:rPr>
              <w:t>Nyári</w:t>
            </w:r>
          </w:p>
        </w:tc>
        <w:tc>
          <w:tcPr>
            <w:tcW w:type="dxa" w:w="1510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1510"/>
          </w:tcPr>
          <w:p>
            <w:pPr>
              <w:spacing w:before="60" w:after="60"/>
            </w:pPr>
            <w:r>
              <w:rPr>
                <w:sz w:val="17"/>
              </w:rPr>
              <w:t>Téli</w:t>
            </w:r>
          </w:p>
        </w:tc>
        <w:tc>
          <w:tcPr>
            <w:tcW w:type="dxa" w:w="1510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  <w:tr>
        <w:tc>
          <w:tcPr>
            <w:tcW w:type="dxa" w:w="1510"/>
          </w:tcPr>
          <w:p>
            <w:pPr>
              <w:spacing w:before="60" w:after="60"/>
            </w:pPr>
            <w:r>
              <w:rPr>
                <w:sz w:val="17"/>
              </w:rPr>
              <w:t>Négyévszakos</w:t>
            </w:r>
          </w:p>
        </w:tc>
        <w:tc>
          <w:tcPr>
            <w:tcW w:type="dxa" w:w="1510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742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  <w:tc>
          <w:tcPr>
            <w:tcW w:type="dxa" w:w="1626"/>
          </w:tcPr>
          <w:p>
            <w:pPr>
              <w:spacing w:before="60" w:after="60"/>
            </w:pPr>
            <w:r>
              <w:rPr>
                <w:sz w:val="17"/>
              </w:rPr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keepNext/>
        <w:spacing w:after="60" w:before="160"/>
      </w:pPr>
      <w:r>
        <w:rPr>
          <w:b/>
          <w:i w:val="0"/>
          <w:color w:val="1F4E5F"/>
          <w:sz w:val="22"/>
        </w:rPr>
        <w:t>8. Nyilatkozat a nagyfeszültségű rendszerről</w:t>
      </w:r>
    </w:p>
    <w:p>
      <w:pPr>
        <w:spacing w:after="80" w:before="0"/>
      </w:pPr>
      <w:r>
        <w:rPr>
          <w:b w:val="0"/>
          <w:i w:val="0"/>
          <w:sz w:val="20"/>
        </w:rPr>
        <w:t>Az Eladó kijelenti, hogy tudomása szerint a jármű nagyfeszültségű rendszere (akkumulátor, akkumulátorház, nagyfeszültségű kábelek, töltőcsatlakozó) nem sérült; az akkumulátorházat nem érte ütközés vagy alsó sérülés; a jármű nem állt víz alatt; az akkumulátort nem nyitották meg a gyártó által nem engedélyezett helyen.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A nyilatkozat kivétel nélkül igaz.</w:t>
      </w:r>
    </w:p>
    <w:p>
      <w:pPr>
        <w:spacing w:after="40" w:before="0"/>
        <w:ind w:left="283" w:hanging="283"/>
      </w:pPr>
      <w:r>
        <w:rPr>
          <w:b w:val="0"/>
          <w:i w:val="0"/>
          <w:sz w:val="20"/>
        </w:rPr>
        <w:t>□  Kivétel / korábbi javítás: ………………………………………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515"/>
        <w:gridCol w:w="6123"/>
      </w:tblGrid>
      <w:tr>
        <w:tc>
          <w:tcPr>
            <w:tcW w:type="dxa" w:w="35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spacing w:before="100" w:after="20"/>
            </w:pPr>
            <w:r>
              <w:rPr>
                <w:sz w:val="18"/>
              </w:rPr>
              <w:t>Nagyfeszültségű rendszeren végzett javítás, akkumulátor- vagy modulcsere (hol, mikor, számla):</w:t>
            </w:r>
          </w:p>
        </w:tc>
        <w:tc>
          <w:tcPr>
            <w:tcW w:type="dxa" w:w="6123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100" w:after="20"/>
            </w:pPr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i w:val="0"/>
          <w:sz w:val="20"/>
        </w:rPr>
      </w:r>
    </w:p>
    <w:p>
      <w:pPr>
        <w:spacing w:after="200" w:before="200"/>
      </w:pPr>
      <w:r>
        <w:rPr>
          <w:b w:val="0"/>
          <w:i w:val="0"/>
          <w:sz w:val="20"/>
        </w:rPr>
        <w:t>Kelt: ………………………………, ……………… év ………………… hó ……… nap</w:t>
      </w:r>
    </w:p>
    <w:tbl>
      <w:tblPr>
        <w:tblW w:type="dxa" w:w="8505"/>
        <w:tblLayout w:type="fixed"/>
        <w:tblLook w:firstColumn="1" w:firstRow="1" w:lastColumn="0" w:lastRow="0" w:noHBand="0" w:noVBand="1" w:val="04A0"/>
      </w:tblPr>
      <w:tblGrid>
        <w:gridCol w:w="4252"/>
        <w:gridCol w:w="4252"/>
      </w:tblGrid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440"/>
            </w:pPr>
            <w:r>
              <w:t xml:space="preserve"> </w:t>
            </w:r>
          </w:p>
        </w:tc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single" w:sz="4" w:color="808080"/>
              <w:right w:val="none" w:sz="0" w:space="0" w:color="auto"/>
            </w:tcBorders>
          </w:tcPr>
          <w:p>
            <w:pPr>
              <w:spacing w:before="440"/>
            </w:pPr>
            <w:r>
              <w:t xml:space="preserve"> </w:t>
            </w:r>
          </w:p>
        </w:tc>
      </w:tr>
      <w:tr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sz w:val="17"/>
              </w:rPr>
              <w:t>Eladó aláírása</w:t>
            </w:r>
          </w:p>
        </w:tc>
        <w:tc>
          <w:tcPr>
            <w:tcW w:type="dxa" w:w="425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sz w:val="17"/>
              </w:rPr>
              <w:t>Vevő aláírása</w:t>
            </w:r>
          </w:p>
        </w:tc>
      </w:tr>
    </w:tbl>
    <w:p>
      <w:pPr>
        <w:spacing w:after="80" w:before="0"/>
      </w:pPr>
      <w:r>
        <w:rPr>
          <w:b w:val="0"/>
          <w:i w:val="0"/>
          <w:sz w:val="20"/>
        </w:rPr>
      </w:r>
    </w:p>
    <w:p>
      <w:pPr>
        <w:spacing w:after="20" w:before="200"/>
      </w:pPr>
      <w:r>
        <w:rPr>
          <w:b/>
          <w:i w:val="0"/>
          <w:color w:val="555555"/>
          <w:sz w:val="16"/>
        </w:rPr>
        <w:t>Jogszabályi háttér (lekérve: 2026-10-21):</w:t>
      </w:r>
    </w:p>
    <w:p>
      <w:pPr>
        <w:spacing w:after="0" w:before="0"/>
      </w:pPr>
      <w:r>
        <w:rPr>
          <w:b w:val="0"/>
          <w:i w:val="0"/>
          <w:color w:val="555555"/>
          <w:sz w:val="15"/>
        </w:rPr>
        <w:t>• 2013. évi V. törvény (Ptk.) 5:38. §, 6:15. §, 6:157. § (1), 6:215. §, 6:216. § — net.jogtar.hu/jogszabaly?docid=a1300005.tv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5"/>
      </w:rPr>
      <w:t>EV Club dokumentumtár · evclub.hu/dokumentumtar · a jogszabályok lekérésének dátuma: 2026-10-21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555555"/>
        <w:sz w:val="16"/>
      </w:rPr>
      <w:t>Minta — nem jogi tanács; egyedi esetben fordulj ügyvédhez.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EV-melléklet</dc:title>
  <dc:subject/>
  <dc:creator>EV Club</dc:creator>
  <cp:keywords/>
  <dc:description>Minta — nem jogi tanács; egyedi esetben fordulj ügyvédhez.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