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D6"/>
          </w:tcPr>
          <w:p>
            <w:r>
              <w:rPr>
                <w:b/>
                <w:sz w:val="20"/>
              </w:rPr>
              <w:t>Minta — nem jogi tanács; egyedi esetben fordulj ügyvédhez.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7"/>
              </w:rPr>
              <w:t>A jogszabályi hivatkozásokat 2026. október 21-én ellenőriztük a Nemzeti Jogszabálytárban, illetve a Jogtárban. Kitöltés előtt nézd meg, nem változtak-e.</w:t>
            </w:r>
          </w:p>
        </w:tc>
      </w:tr>
    </w:tbl>
    <w:p>
      <w:pPr>
        <w:spacing w:after="40" w:before="0"/>
      </w:pPr>
      <w:r>
        <w:rPr>
          <w:b w:val="0"/>
          <w:i w:val="0"/>
          <w:sz w:val="20"/>
        </w:rPr>
      </w:r>
    </w:p>
    <w:p>
      <w:pPr>
        <w:spacing w:after="0" w:before="0"/>
        <w:jc w:val="center"/>
      </w:pPr>
      <w:r>
        <w:rPr>
          <w:b/>
          <w:i w:val="0"/>
          <w:color w:val="1F4E5F"/>
          <w:sz w:val="32"/>
        </w:rPr>
        <w:t>GÉPJÁRMŰ ADÁSVÉTELI SZERZŐDÉS</w:t>
      </w:r>
    </w:p>
    <w:p>
      <w:pPr>
        <w:spacing w:after="200" w:before="0"/>
        <w:jc w:val="center"/>
      </w:pPr>
      <w:r>
        <w:rPr>
          <w:b w:val="0"/>
          <w:i/>
          <w:sz w:val="20"/>
        </w:rPr>
        <w:t>magánszemélyek között — elektromos autóhoz, EV-melléklettel</w:t>
      </w:r>
    </w:p>
    <w:p>
      <w:pPr>
        <w:spacing w:after="80" w:before="0"/>
      </w:pPr>
      <w:r>
        <w:rPr>
          <w:b w:val="0"/>
          <w:i w:val="0"/>
          <w:sz w:val="20"/>
        </w:rPr>
        <w:t>amely létrejött egyrészről az alább megnevezett eladó (a továbbiakban: Eladó), másrészről az alább megnevezett vevő (a továbbiakban: Vevő) között, az alulírott helyen és napon, a következő feltételekkel.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1. Eladó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Név: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Születési név: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Születési hely és idő: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Anyja születési neve: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Lakcím: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Személyazonosító okmány típusa és száma: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Telefon / e-mail (nem kötelező):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2. Vevő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Név: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Születési név: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Születési hely és idő: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Anyja születési neve: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Lakcím: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Személyazonosító okmány típusa és száma: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Telefon / e-mail (nem kötelező):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3. A szerződés tárgya: a jármű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Gyártmány, típus (kereskedelmi név):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Rendszám: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Alvázszám (VIN):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Forgalmi engedély sorszáma: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Törzskönyv sorszáma (vagy a hiányának oka):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Első forgalomba helyezés dátuma: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Környezetvédelmi osztály kódja (a forgalmi engedély szerint):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Hajtás: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Szín: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 w:val="0"/>
          <w:i w:val="0"/>
          <w:sz w:val="20"/>
        </w:rPr>
        <w:t>A jármű akkumulátorának állapotát, a töltőkábeleket és tartozékokat, a garancia, a digitális kulcsok és a gyártói alkalmazásfiók átadását a szerződés elválaszthatatlan részét képező 1. számú melléklet (EV-melléklet) rögzíti.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4. A jogügylet jogcíme és a vételár</w:t>
      </w:r>
    </w:p>
    <w:p>
      <w:pPr>
        <w:spacing w:after="80" w:before="0"/>
      </w:pPr>
      <w:r>
        <w:rPr>
          <w:b w:val="0"/>
          <w:i w:val="0"/>
          <w:sz w:val="20"/>
        </w:rPr>
        <w:t>A jogügylet jogcíme: adásvétel. Az Eladó a jármű tulajdonjogának átruházására, a Vevő a vételár megfizetésére és a jármű átvételére köteles (Ptk. 6:215. § (1)).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Vételár számmal (Ft):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Vételár betűvel (forint):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Fizetés módja (készpénz / átutalás):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Fizetés időpontja: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Bankszámlaszám átutalásnál: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Az Eladó a teljes vételárat a szerződés aláírásával egyidejűleg átvette, és ezt aláírásával nyugtázza.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vételár megfizetése a fenti időpontban, átutalással történik.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Az Eladó a tulajdonjogát a vételár teljes kiegyenlítéséig fenntartja (tulajdonjog-fenntartás, Ptk. 6:216. §).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5. Birtokbaadás, a tulajdonjog-változás hatálybalépése</w:t>
      </w:r>
    </w:p>
    <w:p>
      <w:pPr>
        <w:spacing w:after="80" w:before="0"/>
      </w:pPr>
      <w:r>
        <w:rPr>
          <w:b w:val="0"/>
          <w:i w:val="0"/>
          <w:sz w:val="20"/>
        </w:rPr>
        <w:t>Ingó dolog tulajdonjogának átruházással való megszerzéséhez a szerződés és erre tekintettel a dolog birtokának átruházása szükséges (Ptk. 5:38. § (1)).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 jármű Vevő birtokába kerülésének időpontja (év, hó, nap, óra, perc):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Kilométeróra-állás az átadáskor (km):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 tulajdonjog-változás hatálybalépésének napja: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6. Az Eladó nyilatkozatai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jármű az Eladó kizárólagos tulajdona.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jármű per-, teher- és igénymentes, harmadik személynek nincs rajta olyan joga, amely a Vevő tulajdonszerzését akadályozza.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jármű nem tartozik bizalmi vagyonkezelés alapján kezelt vagyonba.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jármű bizalmi vagyonkezelés alapján kezelt vagyonba tartozik (részletek az egyéb megállapodásoknál).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 jármű Eladó által ismert hibái, sérülései: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Korábbi balesetek, javítások: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7. A Vevő nyilatkozatai</w:t>
      </w:r>
    </w:p>
    <w:p>
      <w:pPr>
        <w:spacing w:after="80" w:before="0"/>
      </w:pPr>
      <w:r>
        <w:rPr>
          <w:b w:val="0"/>
          <w:i w:val="0"/>
          <w:sz w:val="20"/>
        </w:rPr>
        <w:t>A Vevő a járművet megtekintette, kipróbálta, állapotát — az EV-mellékletben rögzített akkumulátor-állapotot is — megismerte. A felek rögzítik: a Ptk. 6:157. § (1) bekezdése szerint nem teljesít hibásan a kötelezett, ha a jogosult a hibát a szerződéskötés időpontjában ismerte, vagy ismernie kellett. Ezért az ismert hibákat és az akkumulátor állapotát e szerződésben és mellékletében írásban rögzítik.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8. A tulajdonjog-változás bejelentése</w:t>
      </w:r>
    </w:p>
    <w:p>
      <w:pPr>
        <w:spacing w:after="80" w:before="0"/>
      </w:pPr>
      <w:r>
        <w:rPr>
          <w:b w:val="0"/>
          <w:i w:val="0"/>
          <w:sz w:val="20"/>
        </w:rPr>
        <w:t>A felek kijelentik, hogy a tulajdonjog-változás bejelentésére vonatkozó kötelezettségüket a jogszabályban meghatározott határidőn belül teljesítik:</w:t>
      </w:r>
    </w:p>
    <w:p>
      <w:pPr>
        <w:spacing w:after="80" w:before="0"/>
      </w:pPr>
      <w:r>
        <w:rPr>
          <w:b w:val="0"/>
          <w:i w:val="0"/>
          <w:sz w:val="20"/>
        </w:rPr>
        <w:t>a) az Eladó a változástól számított 15 napon belül bejelenti a tulajdonjog-változást a közlekedési igazgatási hatóságnak (304/2009. (XII. 22.) Korm. rendelet 2. § (1));</w:t>
      </w:r>
    </w:p>
    <w:p>
      <w:pPr>
        <w:spacing w:after="80" w:before="0"/>
      </w:pPr>
      <w:r>
        <w:rPr>
          <w:b w:val="0"/>
          <w:i w:val="0"/>
          <w:sz w:val="20"/>
        </w:rPr>
        <w:t>b) a Vevő a tulajdonjog megváltozásától számított 15 napon belül kezdeményezi a változás nyilvántartásban történő átvezetését (1999. évi LXXXIV. tv. 33. § (1) b)).</w:t>
      </w:r>
    </w:p>
    <w:p>
      <w:pPr>
        <w:spacing w:after="80" w:before="0"/>
      </w:pPr>
      <w:r>
        <w:rPr>
          <w:b w:val="0"/>
          <w:i w:val="0"/>
          <w:sz w:val="20"/>
        </w:rPr>
        <w:t>A felek kijelentik, hogy ismerik a bejelentés joghatásait és a mulasztás jogkövetkezményeit, különösen azt, hogy ha a Vevő a fenti kötelezettségének nem tesz eleget, a járművet az illetékes hatóság a külön jogszabályban meghatározott időtartamra kivonja a forgalomból (1999. évi LXXXIV. tv. 33. § (4)).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9. Költségek, illeték, biztosítás</w:t>
      </w:r>
    </w:p>
    <w:p>
      <w:pPr>
        <w:spacing w:after="80" w:before="0"/>
      </w:pPr>
      <w:r>
        <w:rPr>
          <w:b w:val="0"/>
          <w:i w:val="0"/>
          <w:sz w:val="20"/>
        </w:rPr>
        <w:t>A tulajdonjog-változás átvezetésével járó költségeket — eltérő megállapodás hiányában — a Vevő viseli. Tájékoztatásul: a gépjárműadóról szóló törvény szerinti környezetkímélő gépkocsi tulajdonjogának megszerzése mentes a vagyonszerzési illeték alól (1990. évi XCIII. tv. 26. § (1) w)); hogy a jármű ilyennek minősül-e, a forgalmi engedélyben szereplő környezetvédelmi osztály mutatja.</w:t>
      </w:r>
    </w:p>
    <w:p>
      <w:pPr>
        <w:spacing w:after="80" w:before="0"/>
      </w:pPr>
      <w:r>
        <w:rPr>
          <w:b w:val="0"/>
          <w:i w:val="0"/>
          <w:sz w:val="20"/>
        </w:rPr>
        <w:t>Az Eladó kötelező gépjármű-felelősségbiztosítási szerződése a tulajdonjog átszállásával, ha az üzemben tartó személye megváltozik, érdekmúlással megszűnik (2009. évi LXII. tv. 7. § (4)). A Vevő a saját biztosításáról maga gondoskodik.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10. Átadott okmányok és tárgyak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forgalmi engedély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törzskönyv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szervizkönyv / digitális szervizelőzmény kivonata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jótállási jegy / garanciafüzet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kulcsok, kártyakulcsok: ……… db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töltőkábelek és tartozékok az EV-melléklet szerint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egyéb: ………………………………………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11. Egyéb megállapodások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12. Záró rendelkezések</w:t>
      </w:r>
    </w:p>
    <w:p>
      <w:pPr>
        <w:spacing w:after="80" w:before="0"/>
      </w:pPr>
      <w:r>
        <w:rPr>
          <w:b w:val="0"/>
          <w:i w:val="0"/>
          <w:sz w:val="20"/>
        </w:rPr>
        <w:t>A szerződésben nem szabályozott kérdésekben a Polgári Törvénykönyv (2013. évi V. törvény) rendelkezései az irányadók. A szerződés mellékletei: 1. számú melléklet (EV-melléklet); átadás-átvételi jegyzőkönyv (ha készül). A szerződés ……… egymással egyező eredeti példányban készült. A felek a szerződést elolvasás és értelmezés után, mint akaratukkal mindenben egyezőt, jóváhagyólag aláírták.</w:t>
      </w:r>
    </w:p>
    <w:p>
      <w:pPr>
        <w:spacing w:after="200" w:before="200"/>
      </w:pPr>
      <w:r>
        <w:rPr>
          <w:b w:val="0"/>
          <w:i w:val="0"/>
          <w:sz w:val="20"/>
        </w:rPr>
        <w:t>Kelt: ………………………………, ……………… év ………………… hó ……… nap</w:t>
      </w:r>
    </w:p>
    <w:tbl>
      <w:tblPr>
        <w:tblW w:type="dxa" w:w="8505"/>
        <w:tblLayout w:type="fixed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440"/>
            </w:pPr>
            <w:r>
              <w:t xml:space="preserve"> </w:t>
            </w:r>
          </w:p>
        </w:tc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440"/>
            </w:pPr>
            <w:r>
              <w:t xml:space="preserve"> </w:t>
            </w:r>
          </w:p>
        </w:tc>
      </w:tr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sz w:val="17"/>
              </w:rPr>
              <w:t>Eladó aláírása</w:t>
            </w:r>
          </w:p>
        </w:tc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sz w:val="17"/>
              </w:rPr>
              <w:t>Vevő aláírása</w:t>
            </w:r>
          </w:p>
        </w:tc>
      </w:tr>
    </w:tbl>
    <w:p>
      <w:pPr>
        <w:spacing w:after="80" w:before="0"/>
      </w:pPr>
      <w:r>
        <w:rPr>
          <w:b w:val="0"/>
          <w:i w:val="0"/>
          <w:sz w:val="20"/>
        </w:rPr>
      </w:r>
    </w:p>
    <w:p>
      <w:pPr>
        <w:spacing w:after="40" w:before="120"/>
      </w:pPr>
      <w:r>
        <w:rPr>
          <w:b/>
          <w:i w:val="0"/>
          <w:sz w:val="20"/>
        </w:rPr>
        <w:t>Előttünk, mint tanúk előtt: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240"/>
            </w:pPr>
            <w:r>
              <w:rPr>
                <w:sz w:val="17"/>
              </w:rPr>
              <w:t>1. tanú — Név (olvashatóan):</w:t>
            </w:r>
          </w:p>
        </w:tc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240"/>
            </w:pPr>
            <w:r>
              <w:rPr>
                <w:sz w:val="17"/>
              </w:rPr>
              <w:t>2. tanú — Név (olvashatóan):</w:t>
            </w:r>
          </w:p>
        </w:tc>
      </w:tr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240"/>
            </w:pPr>
            <w:r>
              <w:rPr>
                <w:sz w:val="17"/>
              </w:rPr>
              <w:t>1. tanú — Lakóhely:</w:t>
            </w:r>
          </w:p>
        </w:tc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240"/>
            </w:pPr>
            <w:r>
              <w:rPr>
                <w:sz w:val="17"/>
              </w:rPr>
              <w:t>2. tanú — Lakóhely:</w:t>
            </w:r>
          </w:p>
        </w:tc>
      </w:tr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240"/>
            </w:pPr>
            <w:r>
              <w:rPr>
                <w:sz w:val="17"/>
              </w:rPr>
              <w:t>1. tanú — Aláírás:</w:t>
            </w:r>
          </w:p>
        </w:tc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240"/>
            </w:pPr>
            <w:r>
              <w:rPr>
                <w:sz w:val="17"/>
              </w:rPr>
              <w:t>2. tanú — Aláírás:</w:t>
            </w:r>
          </w:p>
        </w:tc>
      </w:tr>
    </w:tbl>
    <w:p>
      <w:pPr>
        <w:spacing w:after="8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 w:val="0"/>
          <w:i/>
          <w:color w:val="555555"/>
          <w:sz w:val="16"/>
        </w:rPr>
        <w:t>A közlekedési igazgatási eljárásban a tulajdonjog-változást teljes bizonyító erejű magánokirat alapján kell bejelenteni (1999. évi LXXXIV. tv. 33. § (6)); ennek kötelező tartalmát a 304/2009. (XII. 22.) Korm. rendelet 3. §-a sorolja fel, és ez a minta minden elemét tartalmazza. Magánokirat többek között akkor teljes bizonyító erejű, ha két tanú aláírásával igazolja, hogy az aláíró előttük írta alá (vagy ismerte el saját aláírásának), és a tanúk neve és lakóhelye olvashatóan szerepel (Pp. 325. § (1) b)).</w:t>
      </w:r>
    </w:p>
    <w:p>
      <w:pPr>
        <w:spacing w:after="20" w:before="200"/>
      </w:pPr>
      <w:r>
        <w:rPr>
          <w:b/>
          <w:i w:val="0"/>
          <w:color w:val="555555"/>
          <w:sz w:val="16"/>
        </w:rPr>
        <w:t>Jogszabályi háttér (lekérve: 2026-10-21):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2013. évi V. törvény (Ptk.) 5:38. §, 6:15. §, 6:157. § (1), 6:215. §, 6:216. § — net.jogtar.hu/jogszabaly?docid=a1300005.tv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1999. évi LXXXIV. törvény (közúti közlekedési nyilvántartás) 33. § (1) b), (4), (6) — njt.hu/jogszabaly/1999-84-00-00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304/2009. (XII. 22.) Korm. rendelet 2. § (1), 3. § — njt.hu/jogszabaly/2009-304-20-22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2016. évi CXXX. törvény (Pp.) 325. § (1) b) — teljes bizonyító erejű magánokirat — njt.hu/jogszabaly/2016-130-00-00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1990. évi XCIII. törvény (Itv.) 26. § (1) w) — njt.hu/jogszabaly/1990-93-00-00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1991. évi LXXXII. törvény (gépjárműadó) 2. § 9. pont, 5. § g) — njt.hu/jogszabaly/1991-82-00-00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2009. évi LXII. törvény (Gfbt.) 7. § (3)–(4) — net.jogtar.hu/jogszabaly?docid=a0900062.tv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5"/>
      </w:rPr>
      <w:t>EV Club dokumentumtár · evclub.hu/dokumentumtar · a jogszabályok lekérésének dátuma: 2026-10-21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555555"/>
        <w:sz w:val="16"/>
      </w:rPr>
      <w:t>Minta — nem jogi tanács; egyedi esetben fordulj ügyvédhez.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Gépjármű adásvételi szerződés</dc:title>
  <dc:subject/>
  <dc:creator>EV Club</dc:creator>
  <cp:keywords/>
  <dc:description>Minta — nem jogi tanács; egyedi esetben fordulj ügyvédhez.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